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rial" w:hAnsi="Arial"/>
          <w:b/>
          <w:color w:val="071A3A"/>
          <w:sz w:val="44"/>
        </w:rPr>
        <w:t>Vereinbarung zur Auftragsverarbeitung</w:t>
      </w:r>
    </w:p>
    <w:p>
      <w:r>
        <w:rPr>
          <w:rFonts w:ascii="Arial" w:hAnsi="Arial"/>
          <w:color w:val="5A6478"/>
          <w:sz w:val="20"/>
        </w:rPr>
        <w:t>Entwurf nach Art. 28 DSGVO für die Nutzung von Service-Pass durch Hausverwaltungen.</w:t>
      </w:r>
    </w:p>
    <w:tbl>
      <w:tblPr>
        <w:tblW w:type="auto" w:w="0"/>
        <w:jc w:val="center"/>
        <w:tblLook w:firstColumn="1" w:firstRow="1" w:lastColumn="0" w:lastRow="0" w:noHBand="0" w:noVBand="1" w:val="04A0"/>
      </w:tblPr>
      <w:tblGrid>
        <w:gridCol w:w="3456"/>
        <w:gridCol w:w="3456"/>
        <w:gridCol w:w="3456"/>
      </w:tblGrid>
      <w:tr>
        <w:tc>
          <w:tcPr>
            <w:tcW w:type="dxa" w:w="3456"/>
            <w:shd w:fill="EFF7FF"/>
            <w:tcBorders>
              <w:top w:val="single" w:sz="8" w:space="0" w:color="D9E7F5"/>
              <w:left w:val="single" w:sz="8" w:space="0" w:color="D9E7F5"/>
              <w:bottom w:val="single" w:sz="8" w:space="0" w:color="D9E7F5"/>
              <w:right w:val="single" w:sz="8" w:space="0" w:color="D9E7F5"/>
            </w:tcBorders>
            <w:vAlign w:val="center"/>
          </w:tcPr>
          <w:p>
            <w:pPr>
              <w:spacing w:after="0"/>
            </w:pPr>
            <w:r>
              <w:rPr>
                <w:b/>
                <w:color w:val="00AEEF"/>
                <w:sz w:val="13"/>
              </w:rPr>
              <w:t>DOKUMENT</w:t>
              <w:br/>
            </w:r>
            <w:r>
              <w:rPr>
                <w:b/>
                <w:color w:val="071A3A"/>
                <w:sz w:val="17"/>
              </w:rPr>
              <w:t>Vereinbarung zur Auftragsverarbeitung</w:t>
            </w:r>
          </w:p>
        </w:tc>
        <w:tc>
          <w:tcPr>
            <w:tcW w:type="dxa" w:w="3456"/>
            <w:shd w:fill="EFF7FF"/>
            <w:tcBorders>
              <w:top w:val="single" w:sz="8" w:space="0" w:color="D9E7F5"/>
              <w:left w:val="single" w:sz="8" w:space="0" w:color="D9E7F5"/>
              <w:bottom w:val="single" w:sz="8" w:space="0" w:color="D9E7F5"/>
              <w:right w:val="single" w:sz="8" w:space="0" w:color="D9E7F5"/>
            </w:tcBorders>
            <w:vAlign w:val="center"/>
          </w:tcPr>
          <w:p>
            <w:pPr>
              <w:spacing w:after="0"/>
            </w:pPr>
            <w:r>
              <w:rPr>
                <w:b/>
                <w:color w:val="00AEEF"/>
                <w:sz w:val="13"/>
              </w:rPr>
              <w:t>STAND</w:t>
              <w:br/>
            </w:r>
            <w:r>
              <w:rPr>
                <w:b/>
                <w:color w:val="071A3A"/>
                <w:sz w:val="17"/>
              </w:rPr>
              <w:t>Juli 2026</w:t>
            </w:r>
          </w:p>
        </w:tc>
        <w:tc>
          <w:tcPr>
            <w:tcW w:type="dxa" w:w="3456"/>
            <w:shd w:fill="EFF7FF"/>
            <w:tcBorders>
              <w:top w:val="single" w:sz="8" w:space="0" w:color="D9E7F5"/>
              <w:left w:val="single" w:sz="8" w:space="0" w:color="D9E7F5"/>
              <w:bottom w:val="single" w:sz="8" w:space="0" w:color="D9E7F5"/>
              <w:right w:val="single" w:sz="8" w:space="0" w:color="D9E7F5"/>
            </w:tcBorders>
            <w:vAlign w:val="center"/>
          </w:tcPr>
          <w:p>
            <w:pPr>
              <w:spacing w:after="0"/>
            </w:pPr>
            <w:r>
              <w:rPr>
                <w:b/>
                <w:color w:val="00AEEF"/>
                <w:sz w:val="13"/>
              </w:rPr>
              <w:t>NR.</w:t>
              <w:br/>
            </w:r>
            <w:r>
              <w:rPr>
                <w:b/>
                <w:color w:val="071A3A"/>
                <w:sz w:val="17"/>
              </w:rPr>
              <w:t>SP-AVV-2026</w:t>
            </w:r>
          </w:p>
        </w:tc>
      </w:tr>
    </w:tbl>
    <w:p/>
    <w:tbl>
      <w:tblPr>
        <w:tblW w:type="auto" w:w="0"/>
        <w:jc w:val="center"/>
        <w:tblLook w:firstColumn="1" w:firstRow="1" w:lastColumn="0" w:lastRow="0" w:noHBand="0" w:noVBand="1" w:val="04A0"/>
      </w:tblPr>
      <w:tblGrid>
        <w:gridCol w:w="10368"/>
      </w:tblGrid>
      <w:tr>
        <w:tc>
          <w:tcPr>
            <w:tcW w:type="dxa" w:w="10368"/>
            <w:shd w:fill="FFF8E6"/>
            <w:tcBorders>
              <w:top w:val="single" w:sz="8" w:space="0" w:color="F2C36B"/>
              <w:left w:val="single" w:sz="8" w:space="0" w:color="F2C36B"/>
              <w:bottom w:val="single" w:sz="8" w:space="0" w:color="F2C36B"/>
              <w:right w:val="single" w:sz="8" w:space="0" w:color="F2C36B"/>
            </w:tcBorders>
          </w:tcPr>
          <w:p>
            <w:pPr>
              <w:spacing w:after="40"/>
            </w:pPr>
            <w:r>
              <w:rPr>
                <w:b/>
                <w:color w:val="784C00"/>
                <w:sz w:val="17"/>
              </w:rPr>
              <w:t xml:space="preserve">Wichtiger Hinweis: </w:t>
            </w:r>
            <w:r>
              <w:rPr>
                <w:color w:val="463714"/>
                <w:sz w:val="17"/>
              </w:rPr>
              <w:t>Dieser AVV-Entwurf bildet typische Mindestinhalte nach Art. 28 DSGVO ab. Vor produktiver Nutzung sind eingesetzte Unterauftragsverarbeiter, TOMs, Löschfristen und Hosting-Standorte konkret zu ergänzen und juristisch zu prüfen.</w:t>
            </w:r>
          </w:p>
        </w:tc>
      </w:tr>
    </w:tbl>
    <w:p/>
    <w:tbl>
      <w:tblPr>
        <w:tblW w:type="auto" w:w="0"/>
        <w:jc w:val="center"/>
        <w:tblLook w:firstColumn="1" w:firstRow="1" w:lastColumn="0" w:lastRow="0" w:noHBand="0" w:noVBand="1" w:val="04A0"/>
      </w:tblPr>
      <w:tblGrid>
        <w:gridCol w:w="5184"/>
        <w:gridCol w:w="5184"/>
      </w:tblGrid>
      <w:tr>
        <w:tc>
          <w:tcPr>
            <w:tcW w:type="dxa" w:w="5184"/>
            <w:tcBorders>
              <w:top w:val="single" w:sz="8" w:space="0" w:color="D9E7F5"/>
              <w:left w:val="single" w:sz="8" w:space="0" w:color="D9E7F5"/>
              <w:bottom w:val="single" w:sz="8" w:space="0" w:color="D9E7F5"/>
              <w:right w:val="single" w:sz="8" w:space="0" w:color="D9E7F5"/>
            </w:tcBorders>
            <w:vAlign w:val="center"/>
            <w:shd w:fill="FFFFFF"/>
          </w:tcPr>
          <w:p>
            <w:pPr>
              <w:spacing w:after="0"/>
            </w:pPr>
            <w:r>
              <w:rPr>
                <w:b/>
                <w:color w:val="5A6478"/>
                <w:sz w:val="13"/>
              </w:rPr>
              <w:t>VERANTWORTLICHER / KUNDE</w:t>
              <w:br/>
            </w:r>
            <w:r>
              <w:rPr>
                <w:color w:val="071A3A"/>
                <w:sz w:val="17"/>
              </w:rPr>
              <w:t>[Hausverwaltung, Anschrift, Vertretung]</w:t>
            </w:r>
          </w:p>
        </w:tc>
        <w:tc>
          <w:tcPr>
            <w:tcW w:type="dxa" w:w="5184"/>
            <w:tcBorders>
              <w:top w:val="single" w:sz="8" w:space="0" w:color="D9E7F5"/>
              <w:left w:val="single" w:sz="8" w:space="0" w:color="D9E7F5"/>
              <w:bottom w:val="single" w:sz="8" w:space="0" w:color="D9E7F5"/>
              <w:right w:val="single" w:sz="8" w:space="0" w:color="D9E7F5"/>
            </w:tcBorders>
            <w:vAlign w:val="center"/>
            <w:shd w:fill="FFFFFF"/>
          </w:tcPr>
          <w:p>
            <w:pPr>
              <w:spacing w:after="0"/>
            </w:pPr>
            <w:r>
              <w:rPr>
                <w:b/>
                <w:color w:val="5A6478"/>
                <w:sz w:val="13"/>
              </w:rPr>
              <w:t>AUFTRAGSVERARBEITER</w:t>
              <w:br/>
            </w:r>
            <w:r>
              <w:rPr>
                <w:color w:val="071A3A"/>
                <w:sz w:val="17"/>
              </w:rPr>
              <w:t>Service-Pass / Ioannis Daskalidis, [ladungsfähige Anschrift], info@service-pass.eu</w:t>
            </w:r>
          </w:p>
        </w:tc>
      </w:tr>
      <w:tr>
        <w:tc>
          <w:tcPr>
            <w:tcW w:type="dxa" w:w="5184"/>
            <w:tcBorders>
              <w:top w:val="single" w:sz="8" w:space="0" w:color="D9E7F5"/>
              <w:left w:val="single" w:sz="8" w:space="0" w:color="D9E7F5"/>
              <w:bottom w:val="single" w:sz="8" w:space="0" w:color="D9E7F5"/>
              <w:right w:val="single" w:sz="8" w:space="0" w:color="D9E7F5"/>
            </w:tcBorders>
            <w:vAlign w:val="center"/>
            <w:shd w:fill="FFFFFF"/>
          </w:tcPr>
          <w:p>
            <w:pPr>
              <w:spacing w:after="0"/>
            </w:pPr>
            <w:r>
              <w:rPr>
                <w:b/>
                <w:color w:val="5A6478"/>
                <w:sz w:val="13"/>
              </w:rPr>
              <w:t>HAUPTVERTRAG</w:t>
              <w:br/>
            </w:r>
            <w:r>
              <w:rPr>
                <w:color w:val="071A3A"/>
                <w:sz w:val="17"/>
              </w:rPr>
              <w:t>Pilotvertrag / SaaS-Nutzungsvertrag</w:t>
            </w:r>
          </w:p>
        </w:tc>
        <w:tc>
          <w:tcPr>
            <w:tcW w:type="dxa" w:w="5184"/>
            <w:tcBorders>
              <w:top w:val="single" w:sz="8" w:space="0" w:color="D9E7F5"/>
              <w:left w:val="single" w:sz="8" w:space="0" w:color="D9E7F5"/>
              <w:bottom w:val="single" w:sz="8" w:space="0" w:color="D9E7F5"/>
              <w:right w:val="single" w:sz="8" w:space="0" w:color="D9E7F5"/>
            </w:tcBorders>
            <w:vAlign w:val="center"/>
            <w:shd w:fill="FFFFFF"/>
          </w:tcPr>
          <w:p>
            <w:pPr>
              <w:spacing w:after="0"/>
            </w:pPr>
            <w:r>
              <w:rPr>
                <w:b/>
                <w:color w:val="5A6478"/>
                <w:sz w:val="13"/>
              </w:rPr>
              <w:t>BEGINN / DAUER</w:t>
              <w:br/>
            </w:r>
            <w:r>
              <w:rPr>
                <w:color w:val="071A3A"/>
                <w:sz w:val="17"/>
              </w:rPr>
              <w:t>[Datum] bis Vertragsende zzgl. Abwicklungsfristen</w:t>
            </w:r>
          </w:p>
        </w:tc>
      </w:tr>
    </w:tbl>
    <w:p/>
    <w:p>
      <w:pPr>
        <w:pStyle w:val="Heading2"/>
      </w:pPr>
      <w:r>
        <w:t>§ 1 Gegenstand und Dauer</w:t>
      </w:r>
    </w:p>
    <w:p>
      <w:r>
        <w:t>Gegenstand dieser Vereinbarung ist die Verarbeitung personenbezogener Daten durch Service-Pass im Auftrag des Kunden im Zusammenhang mit der digitalen Verwaltung von Schadensmeldungen, Tickets, Objektakten, Eigentümerinformationen, Dienstleisterprozessen, Dokumenten und Kommunikation.</w:t>
      </w:r>
    </w:p>
    <w:p>
      <w:pPr>
        <w:pStyle w:val="Heading2"/>
      </w:pPr>
      <w:r>
        <w:t>§ 2 Art und Zweck der Verarbeitung</w:t>
      </w:r>
    </w:p>
    <w:p>
      <w:pPr>
        <w:ind w:left="259" w:hanging="259"/>
      </w:pPr>
      <w:r>
        <w:rPr>
          <w:color w:val="00AEEF"/>
        </w:rPr>
        <w:t xml:space="preserve">• </w:t>
      </w:r>
      <w:r>
        <w:t>Bereitstellung der SaaS-Plattform Service-Pass</w:t>
      </w:r>
    </w:p>
    <w:p>
      <w:pPr>
        <w:ind w:left="259" w:hanging="259"/>
      </w:pPr>
      <w:r>
        <w:rPr>
          <w:color w:val="00AEEF"/>
        </w:rPr>
        <w:t xml:space="preserve">• </w:t>
      </w:r>
      <w:r>
        <w:t>Anlage und Verwaltung von Objekten, Einheiten, Tickets, Dokumenten und Nachrichten</w:t>
      </w:r>
    </w:p>
    <w:p>
      <w:pPr>
        <w:ind w:left="259" w:hanging="259"/>
      </w:pPr>
      <w:r>
        <w:rPr>
          <w:color w:val="00AEEF"/>
        </w:rPr>
        <w:t xml:space="preserve">• </w:t>
      </w:r>
      <w:r>
        <w:t>Bearbeitung von Schadensmeldungen inklusive optionaler Foto-Uploads</w:t>
      </w:r>
    </w:p>
    <w:p>
      <w:pPr>
        <w:ind w:left="259" w:hanging="259"/>
      </w:pPr>
      <w:r>
        <w:rPr>
          <w:color w:val="00AEEF"/>
        </w:rPr>
        <w:t xml:space="preserve">• </w:t>
      </w:r>
      <w:r>
        <w:t>Rollenbasierte Bereitstellung von Daten für Verwaltung, Eigentümer, Dienstleister und Mieter</w:t>
      </w:r>
    </w:p>
    <w:p>
      <w:pPr>
        <w:ind w:left="259" w:hanging="259"/>
      </w:pPr>
      <w:r>
        <w:rPr>
          <w:color w:val="00AEEF"/>
        </w:rPr>
        <w:t xml:space="preserve">• </w:t>
      </w:r>
      <w:r>
        <w:t>Erzeugung von Dokumenten, Nachweisen, Protokollen und PDF-Ausgaben</w:t>
      </w:r>
    </w:p>
    <w:p>
      <w:pPr>
        <w:pStyle w:val="Heading2"/>
      </w:pPr>
      <w:r>
        <w:t>§ 3 Kategorien personenbezogener Daten</w:t>
      </w:r>
    </w:p>
    <w:p>
      <w:pPr>
        <w:ind w:left="259" w:hanging="259"/>
      </w:pPr>
      <w:r>
        <w:rPr>
          <w:color w:val="00AEEF"/>
        </w:rPr>
        <w:t xml:space="preserve">• </w:t>
      </w:r>
      <w:r>
        <w:t>Stammdaten und Kontaktdaten von Nutzern, Mietern, Eigentümern, Dienstleistern und Mitarbeitern</w:t>
      </w:r>
    </w:p>
    <w:p>
      <w:pPr>
        <w:ind w:left="259" w:hanging="259"/>
      </w:pPr>
      <w:r>
        <w:rPr>
          <w:color w:val="00AEEF"/>
        </w:rPr>
        <w:t xml:space="preserve">• </w:t>
      </w:r>
      <w:r>
        <w:t>Objekt- und Einheitsbezüge, Kommunikationsdaten und Vorgangsverläufe</w:t>
      </w:r>
    </w:p>
    <w:p>
      <w:pPr>
        <w:ind w:left="259" w:hanging="259"/>
      </w:pPr>
      <w:r>
        <w:rPr>
          <w:color w:val="00AEEF"/>
        </w:rPr>
        <w:t xml:space="preserve">• </w:t>
      </w:r>
      <w:r>
        <w:t>Fotos und Anhänge im Zusammenhang mit Schadensmeldungen, soweit hochgeladen</w:t>
      </w:r>
    </w:p>
    <w:p>
      <w:pPr>
        <w:ind w:left="259" w:hanging="259"/>
      </w:pPr>
      <w:r>
        <w:rPr>
          <w:color w:val="00AEEF"/>
        </w:rPr>
        <w:t xml:space="preserve">• </w:t>
      </w:r>
      <w:r>
        <w:t>Authentifizierungs- und Protokolldaten</w:t>
      </w:r>
    </w:p>
    <w:p>
      <w:pPr>
        <w:ind w:left="259" w:hanging="259"/>
      </w:pPr>
      <w:r>
        <w:rPr>
          <w:color w:val="00AEEF"/>
        </w:rPr>
        <w:t xml:space="preserve">• </w:t>
      </w:r>
      <w:r>
        <w:t>Abrechnungs- und Vertragsdaten, soweit in der Plattform genutzt</w:t>
      </w:r>
    </w:p>
    <w:p>
      <w:pPr>
        <w:pStyle w:val="Heading2"/>
      </w:pPr>
      <w:r>
        <w:t>§ 4 Kategorien betroffener Personen</w:t>
      </w:r>
    </w:p>
    <w:p>
      <w:pPr>
        <w:ind w:left="259" w:hanging="259"/>
      </w:pPr>
      <w:r>
        <w:rPr>
          <w:color w:val="00AEEF"/>
        </w:rPr>
        <w:t xml:space="preserve">• </w:t>
      </w:r>
      <w:r>
        <w:t>Mieter, Eigentümer und Bevollmächtigte</w:t>
      </w:r>
    </w:p>
    <w:p>
      <w:pPr>
        <w:ind w:left="259" w:hanging="259"/>
      </w:pPr>
      <w:r>
        <w:rPr>
          <w:color w:val="00AEEF"/>
        </w:rPr>
        <w:t xml:space="preserve">• </w:t>
      </w:r>
      <w:r>
        <w:t>Mitarbeiter und Ansprechpartner der Hausverwaltung</w:t>
      </w:r>
    </w:p>
    <w:p>
      <w:pPr>
        <w:ind w:left="259" w:hanging="259"/>
      </w:pPr>
      <w:r>
        <w:rPr>
          <w:color w:val="00AEEF"/>
        </w:rPr>
        <w:t xml:space="preserve">• </w:t>
      </w:r>
      <w:r>
        <w:t>Dienstleister und deren Ansprechpartner</w:t>
      </w:r>
    </w:p>
    <w:p>
      <w:pPr>
        <w:ind w:left="259" w:hanging="259"/>
      </w:pPr>
      <w:r>
        <w:rPr>
          <w:color w:val="00AEEF"/>
        </w:rPr>
        <w:t xml:space="preserve">• </w:t>
      </w:r>
      <w:r>
        <w:t>sonstige Personen, deren Daten im Rahmen eines Vorgangs zulässig verarbeitet werden</w:t>
      </w:r>
    </w:p>
    <w:p>
      <w:pPr>
        <w:pStyle w:val="Heading2"/>
      </w:pPr>
      <w:r>
        <w:t>§ 5 Weisungsbindung</w:t>
      </w:r>
    </w:p>
    <w:p>
      <w:r>
        <w:t>Service-Pass verarbeitet personenbezogene Daten ausschließlich auf dokumentierte Weisung des Kunden, soweit keine gesetzliche Pflicht zur Verarbeitung besteht. Weisungen können im Hauptvertrag, in dieser AVV, in der Plattform oder in Textform erteilt werden.</w:t>
      </w:r>
    </w:p>
    <w:p>
      <w:pPr>
        <w:pStyle w:val="Heading2"/>
      </w:pPr>
      <w:r>
        <w:t>§ 6 Vertraulichkeit</w:t>
      </w:r>
    </w:p>
    <w:p>
      <w:r>
        <w:t>Service-Pass stellt sicher, dass zur Verarbeitung befugte Personen auf Vertraulichkeit verpflichtet sind oder einer angemessenen gesetzlichen Verschwiegenheitspflicht unterliegen.</w:t>
      </w:r>
    </w:p>
    <w:p>
      <w:pPr>
        <w:pStyle w:val="Heading2"/>
      </w:pPr>
      <w:r>
        <w:t>§ 7 Technische und organisatorische Maßnahmen</w:t>
      </w:r>
    </w:p>
    <w:p>
      <w:r>
        <w:t>Service-Pass trifft angemessene technische und organisatorische Maßnahmen. Dazu gehören insbesondere rollenbasierte Zugriffsrechte, Mandantentrennung, TLS-Transportverschlüsselung, Passwortschutz, Protokollierung relevanter Vorgänge, Datensparsamkeit bei Uploads sowie kontrollierte Löschung/Archivierung. Details ergeben sich aus Anlage 1.</w:t>
      </w:r>
    </w:p>
    <w:p>
      <w:pPr>
        <w:pStyle w:val="Heading2"/>
      </w:pPr>
      <w:r>
        <w:t>§ 8 Unterauftragsverarbeiter</w:t>
      </w:r>
    </w:p>
    <w:p>
      <w:r>
        <w:t>Der Einsatz von Unterauftragsverarbeitern bedarf einer allgemeinen oder gesonderten Genehmigung des Kunden. Service-Pass informiert den Kunden über Änderungen und ermöglicht einen begründeten Widerspruch innerhalb angemessener Frist. Unterauftragsverarbeiter werden vertraglich mindestens gleichwertig verpflichtet.</w:t>
      </w:r>
    </w:p>
    <w:p>
      <w:pPr>
        <w:pStyle w:val="Heading2"/>
      </w:pPr>
      <w:r>
        <w:t>§ 9 Unterstützungspflichten</w:t>
      </w:r>
    </w:p>
    <w:p>
      <w:r>
        <w:t>Service-Pass unterstützt den Kunden nach Möglichkeit bei der Erfüllung von Betroffenenrechten, Datenschutz-Folgenabschätzungen, Sicherheitsmeldungen und Nachweispflichten, soweit dies die Verarbeitung über Service-Pass betrifft.</w:t>
      </w:r>
    </w:p>
    <w:p>
      <w:pPr>
        <w:pStyle w:val="Heading2"/>
      </w:pPr>
      <w:r>
        <w:t>§ 10 Datenschutzverletzungen</w:t>
      </w:r>
    </w:p>
    <w:p>
      <w:r>
        <w:t>Service-Pass informiert den Kunden unverzüglich, wenn eine Verletzung des Schutzes personenbezogener Daten bekannt wird, die Daten des Kunden betrifft. Die Mitteilung enthält, soweit verfügbar, Art, Umfang, betroffene Daten, mögliche Folgen und getroffene Maßnahmen.</w:t>
      </w:r>
    </w:p>
    <w:p>
      <w:pPr>
        <w:pStyle w:val="Heading2"/>
      </w:pPr>
      <w:r>
        <w:t>§ 11 Rückgabe und Löschung</w:t>
      </w:r>
    </w:p>
    <w:p>
      <w:r>
        <w:t>Nach Ende der Beauftragung löscht oder gibt Service-Pass personenbezogene Daten nach Wahl des Kunden zurück, soweit keine gesetzlichen Aufbewahrungspflichten oder berechtigte Nachweispflichten entgegenstehen. Sicherungskopien werden nach den technischen Löschzyklen entfernt.</w:t>
      </w:r>
    </w:p>
    <w:p>
      <w:pPr>
        <w:pStyle w:val="Heading2"/>
      </w:pPr>
      <w:r>
        <w:t>§ 12 Kontrollrechte</w:t>
      </w:r>
    </w:p>
    <w:p>
      <w:r>
        <w:t>Der Kunde hat das Recht, die Einhaltung dieser Vereinbarung in angemessenem Umfang zu kontrollieren. Service-Pass kann geeignete Nachweise, Sicherheitsdokumentation oder Auditinformationen bereitstellen. Vor-Ort-Prüfungen sind rechtzeitig abzustimmen und dürfen den Betrieb nicht unverhältnismäßig beeinträchtigen.</w:t>
      </w:r>
    </w:p>
    <w:p>
      <w:pPr>
        <w:pStyle w:val="Heading2"/>
      </w:pPr>
      <w:r>
        <w:t>Anlage 1 - Kurzüberblick TOMs</w:t>
      </w:r>
    </w:p>
    <w:p>
      <w:pPr>
        <w:ind w:left="259" w:hanging="259"/>
      </w:pPr>
      <w:r>
        <w:rPr>
          <w:color w:val="00AEEF"/>
        </w:rPr>
        <w:t xml:space="preserve">• </w:t>
      </w:r>
      <w:r>
        <w:t>Zugriffskontrolle: Rollen- und Rechtekonzept, Nutzerkonten, Session-Schutz</w:t>
      </w:r>
    </w:p>
    <w:p>
      <w:pPr>
        <w:ind w:left="259" w:hanging="259"/>
      </w:pPr>
      <w:r>
        <w:rPr>
          <w:color w:val="00AEEF"/>
        </w:rPr>
        <w:t xml:space="preserve">• </w:t>
      </w:r>
      <w:r>
        <w:t>Zugangskontrolle: Authentifizierung, Passwort-/Token-Mechanismen</w:t>
      </w:r>
    </w:p>
    <w:p>
      <w:pPr>
        <w:ind w:left="259" w:hanging="259"/>
      </w:pPr>
      <w:r>
        <w:rPr>
          <w:color w:val="00AEEF"/>
        </w:rPr>
        <w:t xml:space="preserve">• </w:t>
      </w:r>
      <w:r>
        <w:t>Zugriffstrennung: Mandantentrennung nach Hausverwaltung und Rolle</w:t>
      </w:r>
    </w:p>
    <w:p>
      <w:pPr>
        <w:ind w:left="259" w:hanging="259"/>
      </w:pPr>
      <w:r>
        <w:rPr>
          <w:color w:val="00AEEF"/>
        </w:rPr>
        <w:t xml:space="preserve">• </w:t>
      </w:r>
      <w:r>
        <w:t>Übertragungskontrolle: HTTPS/TLS</w:t>
      </w:r>
    </w:p>
    <w:p>
      <w:pPr>
        <w:ind w:left="259" w:hanging="259"/>
      </w:pPr>
      <w:r>
        <w:rPr>
          <w:color w:val="00AEEF"/>
        </w:rPr>
        <w:t xml:space="preserve">• </w:t>
      </w:r>
      <w:r>
        <w:t>Eingabekontrolle: Zeitstempel und Verlauf für relevante Vorgänge</w:t>
      </w:r>
    </w:p>
    <w:p>
      <w:pPr>
        <w:ind w:left="259" w:hanging="259"/>
      </w:pPr>
      <w:r>
        <w:rPr>
          <w:color w:val="00AEEF"/>
        </w:rPr>
        <w:t xml:space="preserve">• </w:t>
      </w:r>
      <w:r>
        <w:t>Verfügbarkeitskontrolle: Hosting-/Datenbank-Infrastruktur mit Backup-/Recovery-Konzept des Anbieters</w:t>
      </w:r>
    </w:p>
    <w:p>
      <w:pPr>
        <w:ind w:left="259" w:hanging="259"/>
      </w:pPr>
      <w:r>
        <w:rPr>
          <w:color w:val="00AEEF"/>
        </w:rPr>
        <w:t xml:space="preserve">• </w:t>
      </w:r>
      <w:r>
        <w:t>Datensparsamkeit: Hinweise bei Foto-Uploads und rollenbasierte Freigabe von Daten</w:t>
      </w:r>
    </w:p>
    <w:p/>
    <w:tbl>
      <w:tblPr>
        <w:tblW w:type="auto" w:w="0"/>
        <w:tblLook w:firstColumn="1" w:firstRow="1" w:lastColumn="0" w:lastRow="0" w:noHBand="0" w:noVBand="1" w:val="04A0"/>
      </w:tblPr>
      <w:tblGrid>
        <w:gridCol w:w="5184"/>
        <w:gridCol w:w="5184"/>
      </w:tblGrid>
      <w:tr>
        <w:tc>
          <w:tcPr>
            <w:tcW w:type="dxa" w:w="5184"/>
            <w:tcBorders>
              <w:top w:val="single" w:sz="0" w:space="0" w:color="FFFFFF"/>
              <w:left w:val="single" w:sz="0" w:space="0" w:color="FFFFFF"/>
              <w:bottom w:val="single" w:sz="0" w:space="0" w:color="FFFFFF"/>
              <w:right w:val="single" w:sz="0" w:space="0" w:color="FFFFFF"/>
            </w:tcBorders>
          </w:tcPr>
          <w:p>
            <w:r>
              <w:br/>
              <w:br/>
            </w:r>
          </w:p>
        </w:tc>
        <w:tc>
          <w:tcPr>
            <w:tcW w:type="dxa" w:w="5184"/>
            <w:tcBorders>
              <w:top w:val="single" w:sz="0" w:space="0" w:color="FFFFFF"/>
              <w:left w:val="single" w:sz="0" w:space="0" w:color="FFFFFF"/>
              <w:bottom w:val="single" w:sz="0" w:space="0" w:color="FFFFFF"/>
              <w:right w:val="single" w:sz="0" w:space="0" w:color="FFFFFF"/>
            </w:tcBorders>
          </w:tcPr>
          <w:p>
            <w:r>
              <w:br/>
              <w:br/>
            </w:r>
          </w:p>
        </w:tc>
      </w:tr>
      <w:tr>
        <w:tc>
          <w:tcPr>
            <w:tcW w:type="dxa" w:w="5184"/>
            <w:tcBorders>
              <w:top w:val="single" w:sz="0" w:space="0" w:color="FFFFFF"/>
              <w:left w:val="single" w:sz="0" w:space="0" w:color="FFFFFF"/>
              <w:bottom w:val="single" w:sz="0" w:space="0" w:color="FFFFFF"/>
              <w:right w:val="single" w:sz="0" w:space="0" w:color="FFFFFF"/>
            </w:tcBorders>
          </w:tcPr>
          <w:p>
            <w:r>
              <w:rPr>
                <w:sz w:val="18"/>
              </w:rPr>
              <w:t>________________________________</w:t>
              <w:br/>
            </w:r>
            <w:r>
              <w:rPr>
                <w:color w:val="5A6478"/>
                <w:sz w:val="15"/>
              </w:rPr>
              <w:t>Ort, Datum, Kunde/Verantwortlicher</w:t>
            </w:r>
          </w:p>
        </w:tc>
        <w:tc>
          <w:tcPr>
            <w:tcW w:type="dxa" w:w="5184"/>
            <w:tcBorders>
              <w:top w:val="single" w:sz="0" w:space="0" w:color="FFFFFF"/>
              <w:left w:val="single" w:sz="0" w:space="0" w:color="FFFFFF"/>
              <w:bottom w:val="single" w:sz="0" w:space="0" w:color="FFFFFF"/>
              <w:right w:val="single" w:sz="0" w:space="0" w:color="FFFFFF"/>
            </w:tcBorders>
          </w:tcPr>
          <w:p>
            <w:r>
              <w:rPr>
                <w:sz w:val="18"/>
              </w:rPr>
              <w:t>________________________________</w:t>
              <w:br/>
            </w:r>
            <w:r>
              <w:rPr>
                <w:color w:val="5A6478"/>
                <w:sz w:val="15"/>
              </w:rPr>
              <w:t>Ort, Datum, Service-Pass/Auftragsverarbeiter</w:t>
            </w:r>
          </w:p>
        </w:tc>
      </w:tr>
    </w:tbl>
    <w:p/>
    <w:sectPr w:rsidR="00FC693F" w:rsidRPr="0006063C" w:rsidSect="00034616">
      <w:headerReference w:type="default" r:id="rId9"/>
      <w:footerReference w:type="default" r:id="rId10"/>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788291"/>
        <w:sz w:val="14"/>
      </w:rPr>
      <w:t>Service-Pass | Pilotfassung | Stand: Juli 2026 | Entwurf - bitte vor produktiver Nutzung juristisch prüfen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1691640" cy="614416"/>
          <wp:docPr id="1" name="Picture 1"/>
          <wp:cNvGraphicFramePr>
            <a:graphicFrameLocks noChangeAspect="1"/>
          </wp:cNvGraphicFramePr>
          <a:graphic>
            <a:graphicData uri="http://schemas.openxmlformats.org/drawingml/2006/picture">
              <pic:pic>
                <pic:nvPicPr>
                  <pic:cNvPr id="0" name="service-pass-logo.png"/>
                  <pic:cNvPicPr/>
                </pic:nvPicPr>
                <pic:blipFill>
                  <a:blip r:embed="rId1"/>
                  <a:stretch>
                    <a:fillRect/>
                  </a:stretch>
                </pic:blipFill>
                <pic:spPr>
                  <a:xfrm>
                    <a:off x="0" y="0"/>
                    <a:ext cx="1691640" cy="614416"/>
                  </a:xfrm>
                  <a:prstGeom prst="rect"/>
                </pic:spPr>
              </pic:pic>
            </a:graphicData>
          </a:graphic>
        </wp:inline>
      </w:drawing>
    </w:r>
    <w:r>
      <w:rPr>
        <w:rFonts w:ascii="Arial" w:hAnsi="Arial"/>
        <w:color w:val="5A6478"/>
        <w:sz w:val="16"/>
      </w:rPr>
      <w:t xml:space="preserve">   AVV</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rial" w:hAnsi="Arial"/>
      <w:color w:val="141823"/>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rial" w:hAnsi="Arial"/>
      <w:b/>
      <w:bCs/>
      <w:color w:val="071A3A"/>
      <w:sz w:val="4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071A3A"/>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071A3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